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0B516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923" w:type="dxa"/>
            <w:vAlign w:val="center"/>
          </w:tcPr>
          <w:p w14:paraId="67EADFF8">
            <w:pPr>
              <w:bidi/>
              <w:spacing w:after="0" w:line="240" w:lineRule="auto"/>
              <w:rPr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>
              <w:rPr>
                <w:rFonts w:ascii="SimSun" w:hAnsi="SimSun" w:eastAsia="SimSun" w:cs="SimSun"/>
                <w:sz w:val="24"/>
                <w:szCs w:val="24"/>
              </w:rPr>
              <w:t>جامعة فرحات عباس سطيف 1</w:t>
            </w:r>
          </w:p>
          <w:p w14:paraId="5CED5627">
            <w:pPr>
              <w:bidi/>
              <w:spacing w:after="0" w:line="240" w:lineRule="auto"/>
              <w:rPr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>
              <w:rPr>
                <w:rFonts w:ascii="SimSun" w:hAnsi="SimSun" w:eastAsia="SimSun" w:cs="SimSun"/>
                <w:sz w:val="24"/>
                <w:szCs w:val="24"/>
              </w:rPr>
              <w:t>علم الأحياء الدقيقة</w:t>
            </w:r>
          </w:p>
        </w:tc>
      </w:tr>
    </w:tbl>
    <w:p w14:paraId="6F1F6C7C">
      <w:pPr>
        <w:bidi/>
        <w:rPr>
          <w:sz w:val="12"/>
          <w:szCs w:val="12"/>
        </w:rPr>
      </w:pPr>
    </w:p>
    <w:tbl>
      <w:tblPr>
        <w:tblStyle w:val="11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4F3A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23" w:type="dxa"/>
            <w:shd w:val="clear" w:color="auto" w:fill="D8D8D8" w:themeFill="background1" w:themeFillShade="D9"/>
            <w:vAlign w:val="center"/>
          </w:tcPr>
          <w:p w14:paraId="60EE5664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منهج</w:t>
            </w:r>
            <w:r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ة</w:t>
            </w:r>
          </w:p>
          <w:p w14:paraId="18F45496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14:paraId="18E5F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923" w:type="dxa"/>
            <w:vAlign w:val="center"/>
          </w:tcPr>
          <w:p w14:paraId="5ED0758A">
            <w:pPr>
              <w:bidi/>
              <w:spacing w:after="0" w:line="240" w:lineRule="auto"/>
              <w:jc w:val="center"/>
              <w:rPr>
                <w:rFonts w:hint="cs" w:cs="Arial"/>
                <w:b/>
                <w:bCs/>
                <w:sz w:val="36"/>
                <w:szCs w:val="36"/>
                <w:rtl/>
              </w:rPr>
            </w:pPr>
            <w:r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>
              <w:rPr>
                <w:rFonts w:hint="cs" w:cs="Arial"/>
                <w:b/>
                <w:bCs/>
                <w:sz w:val="36"/>
                <w:szCs w:val="36"/>
                <w:rtl/>
              </w:rPr>
              <w:t>:</w:t>
            </w:r>
          </w:p>
          <w:p w14:paraId="48E136C1">
            <w:pPr>
              <w:bidi/>
              <w:spacing w:after="0" w:line="240" w:lineRule="auto"/>
              <w:jc w:val="center"/>
              <w:rPr>
                <w:rFonts w:hint="cs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علم الفيروسات الأساسي والجزيئي</w:t>
            </w:r>
          </w:p>
        </w:tc>
      </w:tr>
    </w:tbl>
    <w:p w14:paraId="61D62C3D">
      <w:pPr>
        <w:bidi/>
        <w:rPr>
          <w:sz w:val="10"/>
          <w:szCs w:val="10"/>
          <w:rtl/>
          <w:lang w:bidi="ar-DZ"/>
        </w:rPr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3662"/>
        <w:gridCol w:w="912"/>
        <w:gridCol w:w="1288"/>
        <w:gridCol w:w="938"/>
        <w:gridCol w:w="1749"/>
      </w:tblGrid>
      <w:tr w14:paraId="2A23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106" w:type="dxa"/>
            <w:gridSpan w:val="2"/>
            <w:vMerge w:val="restart"/>
            <w:shd w:val="clear" w:color="auto" w:fill="D8D8D8" w:themeFill="background1" w:themeFillShade="D9"/>
            <w:vAlign w:val="center"/>
          </w:tcPr>
          <w:p w14:paraId="673DDFC7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18"/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1" w:type="dxa"/>
            <w:gridSpan w:val="4"/>
            <w:shd w:val="clear" w:color="auto" w:fill="D8D8D8" w:themeFill="background1" w:themeFillShade="D9"/>
            <w:vAlign w:val="center"/>
          </w:tcPr>
          <w:p w14:paraId="7E42B3C7">
            <w:pPr>
              <w:wordWrap w:val="0"/>
              <w:bidi/>
              <w:spacing w:after="0" w:line="240" w:lineRule="auto"/>
              <w:rPr>
                <w:rFonts w:hint="default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>
              <w:rPr>
                <w:rFonts w:hint="cs" w:cs="Arial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hint="default" w:cs="Arial"/>
                <w:b/>
                <w:bCs/>
                <w:sz w:val="28"/>
                <w:szCs w:val="28"/>
                <w:rtl w:val="0"/>
                <w:lang w:val="fr-FR" w:bidi="ar-DZ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خنشوش عبد الحليم</w:t>
            </w:r>
          </w:p>
        </w:tc>
      </w:tr>
      <w:tr w14:paraId="03383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4106" w:type="dxa"/>
            <w:gridSpan w:val="2"/>
            <w:vMerge w:val="continue"/>
            <w:shd w:val="clear" w:color="auto" w:fill="D8D8D8" w:themeFill="background1" w:themeFillShade="D9"/>
            <w:vAlign w:val="center"/>
          </w:tcPr>
          <w:p w14:paraId="34DB9247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8D8D8" w:themeFill="background1" w:themeFillShade="D9"/>
            <w:vAlign w:val="center"/>
          </w:tcPr>
          <w:p w14:paraId="6E672823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>
              <w:rPr>
                <w:rFonts w:hint="cs" w:cs="Arial"/>
                <w:b/>
                <w:bCs/>
                <w:sz w:val="28"/>
                <w:szCs w:val="28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14:paraId="7E2D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634D131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18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14:paraId="31D87427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default"/>
                <w:sz w:val="24"/>
                <w:szCs w:val="24"/>
                <w:rtl/>
                <w:lang w:bidi="ar-DZ"/>
              </w:rPr>
              <w:t>Halim.khenchouche@gmail.com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06889F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79C4A6D0">
            <w:pPr>
              <w:bidi/>
              <w:spacing w:after="0" w:line="240" w:lineRule="auto"/>
              <w:jc w:val="both"/>
              <w:rPr>
                <w:rFonts w:hint="cs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fr-FR" w:bidi="ar-DZ"/>
              </w:rPr>
              <w:t>الأحد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6060AEC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17322EE9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08:00</w:t>
            </w:r>
          </w:p>
        </w:tc>
      </w:tr>
      <w:tr w14:paraId="1A6ED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3D6DDD5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18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14:paraId="41404AF6">
            <w:pPr>
              <w:bidi/>
              <w:spacing w:after="0" w:line="240" w:lineRule="auto"/>
              <w:jc w:val="both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0659794159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174F654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3C706FD0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144A5F2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0D4A2E7C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11:00</w:t>
            </w:r>
          </w:p>
        </w:tc>
      </w:tr>
      <w:tr w14:paraId="1F7B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6469888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18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>
              <w:rPr>
                <w:rStyle w:val="18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14:paraId="101C00A2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007C92E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54A33A60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1DBC0E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6E9DB62F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11:00</w:t>
            </w:r>
          </w:p>
        </w:tc>
      </w:tr>
      <w:tr w14:paraId="704A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0" w:type="dxa"/>
            <w:shd w:val="clear" w:color="auto" w:fill="D8D8D8" w:themeFill="background1" w:themeFillShade="D9"/>
            <w:vAlign w:val="center"/>
          </w:tcPr>
          <w:p w14:paraId="1F73665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14:paraId="12C7BBEF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188F19E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1EE4BC9A">
            <w:pPr>
              <w:bidi/>
              <w:spacing w:after="0" w:line="240" w:lineRule="auto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SNV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28A9BF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45292DC0">
            <w:pPr>
              <w:bidi/>
              <w:spacing w:after="0" w:line="240" w:lineRule="auto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12</w:t>
            </w:r>
          </w:p>
        </w:tc>
      </w:tr>
    </w:tbl>
    <w:p w14:paraId="141DBCE6">
      <w:pPr>
        <w:bidi/>
        <w:rPr>
          <w:sz w:val="10"/>
          <w:szCs w:val="10"/>
          <w:rtl/>
          <w:lang w:bidi="ar-DZ"/>
        </w:rPr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14:paraId="0F416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887" w:type="dxa"/>
            <w:gridSpan w:val="8"/>
            <w:vAlign w:val="center"/>
          </w:tcPr>
          <w:p w14:paraId="0F636C88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14:paraId="5E86376C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14:paraId="5CD7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264" w:type="dxa"/>
            <w:vMerge w:val="restart"/>
            <w:shd w:val="clear" w:color="auto" w:fill="D8D8D8" w:themeFill="background1" w:themeFillShade="D9"/>
            <w:vAlign w:val="center"/>
          </w:tcPr>
          <w:p w14:paraId="4F73928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8D8D8" w:themeFill="background1" w:themeFillShade="D9"/>
            <w:vAlign w:val="center"/>
          </w:tcPr>
          <w:p w14:paraId="2147C327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7B01092E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5A3B3CC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8D8D8" w:themeFill="background1" w:themeFillShade="D9"/>
            <w:vAlign w:val="center"/>
          </w:tcPr>
          <w:p w14:paraId="5CBDF79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14:paraId="785C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264" w:type="dxa"/>
            <w:vMerge w:val="continue"/>
            <w:shd w:val="clear" w:color="auto" w:fill="D8D8D8" w:themeFill="background1" w:themeFillShade="D9"/>
            <w:vAlign w:val="center"/>
          </w:tcPr>
          <w:p w14:paraId="6F126E6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 w:val="continue"/>
            <w:shd w:val="clear" w:color="auto" w:fill="D8D8D8" w:themeFill="background1" w:themeFillShade="D9"/>
            <w:vAlign w:val="center"/>
          </w:tcPr>
          <w:p w14:paraId="6AD8D158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6900A33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4FF175C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2694567E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1614D82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CCA1B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8D8D8" w:themeFill="background1" w:themeFillShade="D9"/>
            <w:vAlign w:val="center"/>
          </w:tcPr>
          <w:p w14:paraId="5EFF066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14:paraId="0FE47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5FD65BF8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خنشوش عبد الحليم</w:t>
            </w:r>
          </w:p>
        </w:tc>
        <w:tc>
          <w:tcPr>
            <w:tcW w:w="1275" w:type="dxa"/>
            <w:vAlign w:val="center"/>
          </w:tcPr>
          <w:p w14:paraId="18E26287">
            <w:pPr>
              <w:bidi/>
              <w:spacing w:after="0" w:line="240" w:lineRule="auto"/>
              <w:rPr>
                <w:rFonts w:hint="default"/>
                <w:rtl/>
                <w:lang w:val="fr-FR" w:bidi="ar-DZ"/>
              </w:rPr>
            </w:pPr>
            <w:r>
              <w:rPr>
                <w:rFonts w:hint="default"/>
                <w:rtl w:val="0"/>
                <w:lang w:val="fr-FR" w:bidi="ar-DZ"/>
              </w:rPr>
              <w:t>B12</w:t>
            </w:r>
          </w:p>
        </w:tc>
        <w:tc>
          <w:tcPr>
            <w:tcW w:w="993" w:type="dxa"/>
            <w:vAlign w:val="center"/>
          </w:tcPr>
          <w:p w14:paraId="2D1BD67B">
            <w:pPr>
              <w:bidi/>
              <w:spacing w:after="0" w:line="240" w:lineRule="auto"/>
              <w:jc w:val="center"/>
              <w:rPr>
                <w:rFonts w:hint="cs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fr-FR"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14:paraId="53C6E47D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8:00</w:t>
            </w:r>
          </w:p>
        </w:tc>
        <w:tc>
          <w:tcPr>
            <w:tcW w:w="992" w:type="dxa"/>
            <w:vAlign w:val="center"/>
          </w:tcPr>
          <w:p w14:paraId="289719F6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851" w:type="dxa"/>
            <w:vAlign w:val="center"/>
          </w:tcPr>
          <w:p w14:paraId="2DD7E7DC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  <w:tc>
          <w:tcPr>
            <w:tcW w:w="992" w:type="dxa"/>
            <w:vAlign w:val="center"/>
          </w:tcPr>
          <w:p w14:paraId="190A3C58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670" w:type="dxa"/>
            <w:vAlign w:val="center"/>
          </w:tcPr>
          <w:p w14:paraId="277F6B55">
            <w:pPr>
              <w:bidi/>
              <w:spacing w:after="0" w:line="240" w:lineRule="auto"/>
              <w:jc w:val="center"/>
              <w:rPr>
                <w:rFonts w:hint="default"/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</w:tr>
      <w:bookmarkEnd w:id="0"/>
    </w:tbl>
    <w:p w14:paraId="49555011">
      <w:pPr>
        <w:bidi/>
        <w:rPr>
          <w:sz w:val="10"/>
          <w:szCs w:val="10"/>
          <w:rtl/>
          <w:lang w:bidi="ar-DZ"/>
        </w:rPr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14:paraId="67F3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887" w:type="dxa"/>
            <w:gridSpan w:val="8"/>
            <w:vAlign w:val="center"/>
          </w:tcPr>
          <w:p w14:paraId="7D453E49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07868A2E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14:paraId="1D5FE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264" w:type="dxa"/>
            <w:vMerge w:val="restart"/>
            <w:shd w:val="clear" w:color="auto" w:fill="D8D8D8" w:themeFill="background1" w:themeFillShade="D9"/>
            <w:vAlign w:val="center"/>
          </w:tcPr>
          <w:p w14:paraId="7E4800D6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8D8D8" w:themeFill="background1" w:themeFillShade="D9"/>
            <w:vAlign w:val="center"/>
          </w:tcPr>
          <w:p w14:paraId="4B5C1C3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7C7870B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8D8D8" w:themeFill="background1" w:themeFillShade="D9"/>
            <w:vAlign w:val="center"/>
          </w:tcPr>
          <w:p w14:paraId="7ED397C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8D8D8" w:themeFill="background1" w:themeFillShade="D9"/>
            <w:vAlign w:val="center"/>
          </w:tcPr>
          <w:p w14:paraId="68088CE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14:paraId="7FA9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264" w:type="dxa"/>
            <w:vMerge w:val="continue"/>
            <w:shd w:val="clear" w:color="auto" w:fill="D8D8D8" w:themeFill="background1" w:themeFillShade="D9"/>
            <w:vAlign w:val="center"/>
          </w:tcPr>
          <w:p w14:paraId="69D6ABE1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 w:val="continue"/>
            <w:shd w:val="clear" w:color="auto" w:fill="D8D8D8" w:themeFill="background1" w:themeFillShade="D9"/>
            <w:vAlign w:val="center"/>
          </w:tcPr>
          <w:p w14:paraId="270AFD8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582BCA3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126A3BA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0049D29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7CA9222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1BA9A0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8D8D8" w:themeFill="background1" w:themeFillShade="D9"/>
            <w:vAlign w:val="center"/>
          </w:tcPr>
          <w:p w14:paraId="53D22E4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14:paraId="40966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4" w:type="dxa"/>
            <w:vAlign w:val="center"/>
          </w:tcPr>
          <w:p w14:paraId="618B0996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خنشوش عبد الحليم</w:t>
            </w:r>
          </w:p>
        </w:tc>
        <w:tc>
          <w:tcPr>
            <w:tcW w:w="1275" w:type="dxa"/>
            <w:vAlign w:val="center"/>
          </w:tcPr>
          <w:p w14:paraId="0EED3C77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default"/>
                <w:rtl w:val="0"/>
                <w:lang w:val="fr-FR" w:bidi="ar-DZ"/>
              </w:rPr>
              <w:t>B12</w:t>
            </w:r>
          </w:p>
        </w:tc>
        <w:tc>
          <w:tcPr>
            <w:tcW w:w="993" w:type="dxa"/>
            <w:vAlign w:val="center"/>
          </w:tcPr>
          <w:p w14:paraId="35E904A6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 w:cstheme="minorBidi"/>
                <w:rtl/>
                <w:lang w:val="fr-FR"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14:paraId="1BAF8B07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8:00</w:t>
            </w:r>
          </w:p>
        </w:tc>
        <w:tc>
          <w:tcPr>
            <w:tcW w:w="992" w:type="dxa"/>
            <w:vAlign w:val="center"/>
          </w:tcPr>
          <w:p w14:paraId="543E212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851" w:type="dxa"/>
            <w:vAlign w:val="center"/>
          </w:tcPr>
          <w:p w14:paraId="29EFBCEE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  <w:tc>
          <w:tcPr>
            <w:tcW w:w="992" w:type="dxa"/>
            <w:vAlign w:val="center"/>
          </w:tcPr>
          <w:p w14:paraId="5EE4F715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670" w:type="dxa"/>
            <w:vAlign w:val="center"/>
          </w:tcPr>
          <w:p w14:paraId="0464AF6C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</w:tr>
    </w:tbl>
    <w:p w14:paraId="59CD35C6">
      <w:pPr>
        <w:bidi/>
        <w:rPr>
          <w:rtl/>
        </w:rPr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907"/>
      </w:tblGrid>
      <w:tr w14:paraId="0C14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516E93C2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14:paraId="3E1A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980" w:type="dxa"/>
            <w:vAlign w:val="center"/>
          </w:tcPr>
          <w:p w14:paraId="71D5907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42F82F4D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فهم المفاهيم الأساسية في علم الفيروسات</w:t>
            </w:r>
          </w:p>
          <w:p w14:paraId="0B37F2BC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اكتساب معرفة معمقة بالمفاهيم الأساسية في علم الفيروسات، بما في ذلك البنية الفيروسية، وتصنيف الفيروسات، ودورات حياتها.</w:t>
            </w:r>
          </w:p>
          <w:p w14:paraId="24CA0585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تحليل الآليات الجزيئية للعدوى الفيروسية</w:t>
            </w:r>
          </w:p>
          <w:p w14:paraId="2E011226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دراسة الآليات الجزيئية التي تتحكم في ارتباط الفيروس بالخلية المضيفة، ودخوله إليها، وتضاعف مادته الوراثية، ثم تجميع وإطلاق الجسيمات الفيروسية الجديدة.</w:t>
            </w:r>
          </w:p>
          <w:p w14:paraId="29F3422A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التفاعلات بين الفيروس والعائل</w:t>
            </w:r>
          </w:p>
          <w:p w14:paraId="203D8577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فهم التفاعلات المعقدة بين الفيروسات والعائل، بما في ذلك الاستجابات المناعية، وآليات التهرب المناعي، والتطور الفيروسي.</w:t>
            </w:r>
          </w:p>
          <w:p w14:paraId="3A746878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تقنيات التشخيص</w:t>
            </w:r>
          </w:p>
          <w:p w14:paraId="50DD9F2F">
            <w:pPr>
              <w:bidi/>
              <w:spacing w:after="0" w:line="240" w:lineRule="auto"/>
              <w:jc w:val="both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استكشاف تطبيقات علم الفيروسات الجزيئي في: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البحث الطبي الحيوي؛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تشخيص الأمراض الفيروسية؛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  <w:r>
              <w:rPr>
                <w:rFonts w:hint="default"/>
                <w:rtl/>
              </w:rPr>
              <w:t>تطوير اللقاحات والأدوية المضادة للفيروسات.</w:t>
            </w:r>
            <w:r>
              <w:rPr>
                <w:rFonts w:hint="cs" w:cstheme="minorBidi"/>
                <w:rtl/>
                <w:lang w:val="en-US" w:bidi="ar-DZ"/>
              </w:rPr>
              <w:t xml:space="preserve"> </w:t>
            </w:r>
          </w:p>
          <w:p w14:paraId="664C9024">
            <w:pPr>
              <w:numPr>
                <w:ilvl w:val="0"/>
                <w:numId w:val="4"/>
              </w:numPr>
              <w:bidi/>
              <w:spacing w:after="0" w:line="240" w:lineRule="auto"/>
              <w:ind w:left="420" w:leftChars="0" w:hanging="420" w:firstLineChars="0"/>
              <w:jc w:val="both"/>
              <w:rPr>
                <w:rtl/>
              </w:rPr>
            </w:pPr>
            <w:r>
              <w:rPr>
                <w:rFonts w:hint="default"/>
                <w:rtl/>
              </w:rPr>
              <w:t>الأخلاقيات والسلامة في علم الفيروسات</w:t>
            </w:r>
          </w:p>
        </w:tc>
      </w:tr>
      <w:tr w14:paraId="24D67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386235D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70C7F6C5">
            <w:pPr>
              <w:bidi/>
              <w:spacing w:after="0" w:line="240" w:lineRule="auto"/>
              <w:rPr>
                <w:rFonts w:hint="default" w:ascii="Arial" w:hAnsi="Arial" w:cs="Arial"/>
                <w:rtl/>
              </w:rPr>
            </w:pPr>
            <w:r>
              <w:rPr>
                <w:rFonts w:hint="default" w:ascii="Arial" w:hAnsi="Arial" w:eastAsia="SimSun" w:cs="Arial"/>
                <w:sz w:val="24"/>
                <w:szCs w:val="24"/>
              </w:rPr>
              <w:t>وحدة أساسية</w:t>
            </w:r>
          </w:p>
        </w:tc>
      </w:tr>
      <w:tr w14:paraId="2128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1B043BA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6964614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مدخل إلى علم الفيروسات: تعريف الفيروسات والتمييز بينها وبين أشكال الحياة الأخرى، وتاريخ علم الفيروسات. </w:t>
            </w:r>
          </w:p>
          <w:p w14:paraId="1F34683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البنية الفيروسية: مكونات الجسيم الفيروسي وتصنيف الفيروسات حسب طبيعة مادتها الوراثية (DNA أو RNA) ووجود الغلاف الفيروسي أو غيابه. </w:t>
            </w:r>
          </w:p>
          <w:p w14:paraId="6E2C4EB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دورة الحياة الفيروسية: الالتصاق بالخلية المضيفة، والاختراق، وتضاعف الجينوم الفيروسي، ثم تجميع وإطلاق الجسيمات الفيروسية. </w:t>
            </w:r>
          </w:p>
          <w:p w14:paraId="596A054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الاستجابة المناعية المضادة للفيروسات: المناعة الفطرية والمكتسبة وآليات هروب الفيروس من الجهاز المناعي. </w:t>
            </w:r>
          </w:p>
          <w:p w14:paraId="28EAB28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الإمراضية الفيروسية: تأثير العدوى الفيروسية في الخلايا والأنسجة والمظاهر السريرية للأمراض الفيروسية. </w:t>
            </w:r>
          </w:p>
          <w:p w14:paraId="07D43BE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الدراسات الجزيئية للفيروسات: تقنيات البيولوجيا الجزيئية المطبقة على الفيروسات والوراثة الفيروسية. </w:t>
            </w:r>
          </w:p>
          <w:p w14:paraId="40A6B9C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مضادات الفيروسات: آليات عملها وتطوير أدوية جديدة. </w:t>
            </w:r>
          </w:p>
          <w:p w14:paraId="0BA1D47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  <w:rtl/>
              </w:rPr>
            </w:pPr>
            <w:r>
              <w:rPr>
                <w:rFonts w:hint="default" w:ascii="Arial" w:hAnsi="Arial" w:cs="Arial"/>
              </w:rPr>
              <w:t xml:space="preserve">التطبيقات الطبية والبيوتكنولوجية: اللقاحات، وتطويرها، واستخدام الفيروسات في البحث العلمي والعلاج الجيني. </w:t>
            </w:r>
          </w:p>
        </w:tc>
      </w:tr>
      <w:tr w14:paraId="674FF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4A030EB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07042C6A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6</w:t>
            </w:r>
          </w:p>
        </w:tc>
      </w:tr>
      <w:tr w14:paraId="4A769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5D1E511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12CD7F89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3</w:t>
            </w:r>
          </w:p>
        </w:tc>
      </w:tr>
      <w:tr w14:paraId="70BF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75B1404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3181F3EC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1</w:t>
            </w:r>
          </w:p>
        </w:tc>
      </w:tr>
      <w:tr w14:paraId="45BA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 w14:paraId="527E594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2C8C5898">
            <w:pPr>
              <w:bidi/>
              <w:spacing w:after="0" w:line="240" w:lineRule="auto"/>
              <w:rPr>
                <w:rFonts w:hint="cs" w:cstheme="minorBidi"/>
                <w:rtl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1</w:t>
            </w:r>
          </w:p>
        </w:tc>
      </w:tr>
      <w:tr w14:paraId="23E6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980" w:type="dxa"/>
            <w:vAlign w:val="center"/>
          </w:tcPr>
          <w:p w14:paraId="4D049FC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4FCF6673">
            <w:pPr>
              <w:bidi/>
              <w:spacing w:after="0" w:line="240" w:lineRule="auto"/>
              <w:rPr>
                <w:rFonts w:hint="default" w:cstheme="minorBidi"/>
                <w:rtl/>
                <w:lang w:val="fr-FR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40</w:t>
            </w:r>
            <w:r>
              <w:rPr>
                <w:rFonts w:hint="default" w:cstheme="minorBidi"/>
                <w:rtl w:val="0"/>
                <w:lang w:val="fr-FR" w:bidi="ar-DZ"/>
              </w:rPr>
              <w:t>%</w:t>
            </w:r>
          </w:p>
        </w:tc>
      </w:tr>
      <w:tr w14:paraId="28F5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80" w:type="dxa"/>
            <w:vAlign w:val="center"/>
          </w:tcPr>
          <w:p w14:paraId="23577FA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115E210C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الفهم العميق للمفاهيم الأساسية في علم الفيروسات.</w:t>
            </w:r>
          </w:p>
          <w:p w14:paraId="0C20321F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التحكم في تقنيات البيولوجيا الجزيئية المخبرية.</w:t>
            </w:r>
          </w:p>
          <w:p w14:paraId="66CE4DA7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إتقان التعامل مع مزارع الخلايا.</w:t>
            </w:r>
          </w:p>
          <w:p w14:paraId="3C63D966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تشخيص الإصابات الفيروسية.</w:t>
            </w:r>
          </w:p>
          <w:p w14:paraId="2153D4E8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فهم الاستجابات المناعية تجاه العدوى الفيروسية.</w:t>
            </w:r>
          </w:p>
          <w:p w14:paraId="61F69DCC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تحليل المعطيات الوبائية.</w:t>
            </w:r>
          </w:p>
          <w:p w14:paraId="64EF9D52">
            <w:pPr>
              <w:numPr>
                <w:ilvl w:val="0"/>
                <w:numId w:val="6"/>
              </w:numPr>
              <w:bidi/>
              <w:spacing w:after="0" w:line="240" w:lineRule="auto"/>
              <w:ind w:left="420" w:leftChars="0" w:hanging="420" w:firstLineChars="0"/>
              <w:rPr>
                <w:rtl/>
              </w:rPr>
            </w:pPr>
            <w:r>
              <w:rPr>
                <w:rFonts w:hint="default"/>
                <w:rtl/>
              </w:rPr>
              <w:t>الإلمام بالأبعاد الأخلاقية للبحث العلمي.</w:t>
            </w:r>
          </w:p>
        </w:tc>
      </w:tr>
    </w:tbl>
    <w:p w14:paraId="003F5DAC">
      <w:pPr>
        <w:bidi/>
        <w:rPr>
          <w:sz w:val="10"/>
          <w:szCs w:val="10"/>
        </w:rPr>
      </w:pPr>
    </w:p>
    <w:tbl>
      <w:tblPr>
        <w:tblStyle w:val="11"/>
        <w:tblW w:w="992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14:paraId="0D20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D8D8D8" w:themeFill="background1" w:themeFillShade="D9"/>
            <w:vAlign w:val="center"/>
          </w:tcPr>
          <w:p w14:paraId="072C56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14:paraId="2C97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D8D8D8" w:themeFill="background1" w:themeFillShade="D9"/>
            <w:vAlign w:val="center"/>
          </w:tcPr>
          <w:p w14:paraId="7808F65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14:paraId="3558C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578" w:type="dxa"/>
            <w:vAlign w:val="center"/>
          </w:tcPr>
          <w:p w14:paraId="6C3EEE3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14:paraId="393E688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0FD590A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647C53B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4DB9708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6BD59FC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7CBB021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71045F8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14:paraId="6CBC4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578" w:type="dxa"/>
            <w:vAlign w:val="center"/>
          </w:tcPr>
          <w:p w14:paraId="61861874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bidi="ar-DZ"/>
              </w:rPr>
              <w:t>شفهي</w:t>
            </w:r>
            <w:r>
              <w:rPr>
                <w:rFonts w:hint="cs" w:cstheme="minorBidi"/>
                <w:rtl/>
                <w:lang w:val="en-US" w:bidi="ar-DZ"/>
              </w:rPr>
              <w:t xml:space="preserve"> و كتابي</w:t>
            </w:r>
          </w:p>
        </w:tc>
        <w:tc>
          <w:tcPr>
            <w:tcW w:w="1570" w:type="dxa"/>
            <w:vAlign w:val="center"/>
          </w:tcPr>
          <w:p w14:paraId="33247BCE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bidi="ar-DZ"/>
              </w:rPr>
              <w:t>في</w:t>
            </w:r>
            <w:r>
              <w:rPr>
                <w:rFonts w:hint="cs" w:cstheme="minorBidi"/>
                <w:rtl/>
                <w:lang w:val="en-US" w:bidi="ar-DZ"/>
              </w:rPr>
              <w:t xml:space="preserve"> القسم</w:t>
            </w:r>
          </w:p>
        </w:tc>
        <w:tc>
          <w:tcPr>
            <w:tcW w:w="1134" w:type="dxa"/>
            <w:shd w:val="clear"/>
            <w:vAlign w:val="center"/>
          </w:tcPr>
          <w:p w14:paraId="3C1BCEDE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asciiTheme="minorHAnsi" w:hAnsiTheme="minorHAnsi" w:eastAsiaTheme="minorHAnsi" w:cstheme="minorBidi"/>
                <w:sz w:val="20"/>
                <w:szCs w:val="20"/>
                <w:lang w:val="fr-FR" w:eastAsia="en-US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5+5+5+5</w:t>
            </w:r>
          </w:p>
        </w:tc>
        <w:tc>
          <w:tcPr>
            <w:tcW w:w="1417" w:type="dxa"/>
            <w:vAlign w:val="center"/>
          </w:tcPr>
          <w:p w14:paraId="5346ED06">
            <w:pPr>
              <w:bidi/>
              <w:spacing w:after="0" w:line="240" w:lineRule="auto"/>
              <w:jc w:val="center"/>
              <w:rPr>
                <w:rFonts w:hint="cs" w:cstheme="minorBidi"/>
                <w:lang w:val="fr-FR" w:bidi="ar-DZ"/>
              </w:rPr>
            </w:pPr>
            <w:r>
              <w:rPr>
                <w:rFonts w:hint="cs" w:cstheme="minorBidi"/>
                <w:rtl/>
                <w:lang w:val="fr-FR" w:bidi="ar-DZ"/>
              </w:rPr>
              <w:t>لا</w:t>
            </w:r>
          </w:p>
        </w:tc>
        <w:tc>
          <w:tcPr>
            <w:tcW w:w="851" w:type="dxa"/>
            <w:vAlign w:val="center"/>
          </w:tcPr>
          <w:p w14:paraId="48302B6A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كتابي</w:t>
            </w:r>
          </w:p>
        </w:tc>
        <w:tc>
          <w:tcPr>
            <w:tcW w:w="992" w:type="dxa"/>
            <w:vAlign w:val="center"/>
          </w:tcPr>
          <w:p w14:paraId="61C6396E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01سا 30د</w:t>
            </w:r>
          </w:p>
        </w:tc>
        <w:tc>
          <w:tcPr>
            <w:tcW w:w="851" w:type="dxa"/>
            <w:vAlign w:val="center"/>
          </w:tcPr>
          <w:p w14:paraId="316FD11E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02:00</w:t>
            </w:r>
          </w:p>
        </w:tc>
        <w:tc>
          <w:tcPr>
            <w:tcW w:w="1530" w:type="dxa"/>
            <w:vAlign w:val="center"/>
          </w:tcPr>
          <w:p w14:paraId="3F326710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الثلاثاء</w:t>
            </w:r>
          </w:p>
        </w:tc>
      </w:tr>
      <w:tr w14:paraId="3C4D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23" w:type="dxa"/>
            <w:gridSpan w:val="8"/>
            <w:shd w:val="clear" w:color="auto" w:fill="F1F1F1" w:themeFill="background1" w:themeFillShade="F2"/>
            <w:vAlign w:val="center"/>
          </w:tcPr>
          <w:p w14:paraId="7B0CF3CD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14:paraId="06FA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578" w:type="dxa"/>
            <w:vAlign w:val="center"/>
          </w:tcPr>
          <w:p w14:paraId="795C9834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14:paraId="3003B89E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774793DC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5EA35903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0FE07A5E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14:paraId="6B069645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14:paraId="5A93327F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26924037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14:paraId="5A5E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78" w:type="dxa"/>
            <w:vAlign w:val="center"/>
          </w:tcPr>
          <w:p w14:paraId="3D1D8A1C">
            <w:pPr>
              <w:bidi/>
              <w:spacing w:after="0" w:line="240" w:lineRule="auto"/>
              <w:jc w:val="center"/>
            </w:pPr>
            <w:r>
              <w:rPr>
                <w:rFonts w:hint="cs" w:cstheme="minorBidi"/>
                <w:rtl/>
                <w:lang w:bidi="ar-DZ"/>
              </w:rPr>
              <w:t>شفهي</w:t>
            </w:r>
            <w:r>
              <w:rPr>
                <w:rFonts w:hint="cs" w:cstheme="minorBidi"/>
                <w:rtl/>
                <w:lang w:val="en-US" w:bidi="ar-DZ"/>
              </w:rPr>
              <w:t xml:space="preserve"> و كتابي</w:t>
            </w:r>
          </w:p>
        </w:tc>
        <w:tc>
          <w:tcPr>
            <w:tcW w:w="1570" w:type="dxa"/>
            <w:vAlign w:val="center"/>
          </w:tcPr>
          <w:p w14:paraId="147F06A0">
            <w:pPr>
              <w:bidi/>
              <w:spacing w:after="0" w:line="240" w:lineRule="auto"/>
              <w:jc w:val="center"/>
            </w:pPr>
            <w:r>
              <w:rPr>
                <w:rFonts w:hint="cs" w:cstheme="minorBidi"/>
                <w:rtl/>
                <w:lang w:bidi="ar-DZ"/>
              </w:rPr>
              <w:t>في</w:t>
            </w:r>
            <w:r>
              <w:rPr>
                <w:rFonts w:hint="cs" w:cstheme="minorBidi"/>
                <w:rtl/>
                <w:lang w:val="en-US" w:bidi="ar-DZ"/>
              </w:rPr>
              <w:t xml:space="preserve"> القسم</w:t>
            </w:r>
          </w:p>
        </w:tc>
        <w:tc>
          <w:tcPr>
            <w:tcW w:w="1134" w:type="dxa"/>
            <w:shd w:val="clear"/>
            <w:vAlign w:val="center"/>
          </w:tcPr>
          <w:p w14:paraId="7DE4B5B9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asciiTheme="minorHAnsi" w:hAnsiTheme="minorHAnsi" w:eastAsiaTheme="minorHAnsi" w:cstheme="minorBidi"/>
                <w:sz w:val="20"/>
                <w:szCs w:val="20"/>
                <w:lang w:val="fr-FR" w:eastAsia="en-US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5+5+5+5</w:t>
            </w:r>
          </w:p>
        </w:tc>
        <w:tc>
          <w:tcPr>
            <w:tcW w:w="1417" w:type="dxa"/>
            <w:vAlign w:val="center"/>
          </w:tcPr>
          <w:p w14:paraId="6D51E59E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14:paraId="0BD74D2D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كتابي</w:t>
            </w:r>
          </w:p>
        </w:tc>
        <w:tc>
          <w:tcPr>
            <w:tcW w:w="992" w:type="dxa"/>
            <w:shd w:val="clear"/>
            <w:vAlign w:val="center"/>
          </w:tcPr>
          <w:p w14:paraId="5DF9D00C">
            <w:pPr>
              <w:bidi/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22"/>
                <w:szCs w:val="22"/>
                <w:lang w:val="en-US" w:eastAsia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01سا 30د</w:t>
            </w:r>
          </w:p>
        </w:tc>
        <w:tc>
          <w:tcPr>
            <w:tcW w:w="851" w:type="dxa"/>
            <w:vAlign w:val="center"/>
          </w:tcPr>
          <w:p w14:paraId="79926B80">
            <w:pPr>
              <w:bidi/>
              <w:spacing w:after="0" w:line="240" w:lineRule="auto"/>
              <w:jc w:val="center"/>
              <w:rPr>
                <w:rFonts w:hint="default" w:cstheme="minorBidi"/>
                <w:lang w:val="en-US" w:bidi="ar-DZ"/>
              </w:rPr>
            </w:pPr>
            <w:r>
              <w:rPr>
                <w:rFonts w:hint="cs" w:cstheme="minorBidi"/>
                <w:rtl/>
                <w:lang w:val="en-US" w:bidi="ar-DZ"/>
              </w:rPr>
              <w:t>02:00</w:t>
            </w:r>
          </w:p>
        </w:tc>
        <w:tc>
          <w:tcPr>
            <w:tcW w:w="1530" w:type="dxa"/>
            <w:vAlign w:val="center"/>
          </w:tcPr>
          <w:p w14:paraId="53D6EE80">
            <w:pPr>
              <w:bidi/>
              <w:spacing w:after="0" w:line="240" w:lineRule="auto"/>
              <w:jc w:val="center"/>
              <w:rPr>
                <w:rFonts w:hint="cs" w:cstheme="minorBidi"/>
                <w:lang w:bidi="ar-DZ"/>
              </w:rPr>
            </w:pPr>
            <w:r>
              <w:rPr>
                <w:rFonts w:hint="cs" w:cstheme="minorBidi"/>
                <w:rtl/>
                <w:lang w:bidi="ar-DZ"/>
              </w:rPr>
              <w:t>الثلاثاء</w:t>
            </w:r>
          </w:p>
        </w:tc>
      </w:tr>
    </w:tbl>
    <w:p w14:paraId="67BFF6BE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>
        <w:rPr>
          <w:rFonts w:hint="cs" w:cs="Arial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hint="cs" w:cs="Arial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hint="cs" w:cs="Arial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hint="cs" w:cs="Arial"/>
          <w:rtl/>
        </w:rPr>
        <w:t>: ت</w:t>
      </w:r>
      <w:r>
        <w:rPr>
          <w:rFonts w:cs="Arial"/>
          <w:rtl/>
        </w:rPr>
        <w:t>،اختبار متعدد الخيارات</w:t>
      </w:r>
      <w:r>
        <w:rPr>
          <w:rFonts w:hint="cs" w:cs="Arial"/>
          <w:rtl/>
        </w:rPr>
        <w:t>.</w:t>
      </w:r>
    </w:p>
    <w:p w14:paraId="3CFE99D3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hint="cs" w:cs="Arial"/>
          <w:rtl/>
        </w:rPr>
        <w:t>: ت</w:t>
      </w:r>
      <w:r>
        <w:rPr>
          <w:rFonts w:cs="Arial"/>
          <w:rtl/>
        </w:rPr>
        <w:t>،التوليف</w:t>
      </w:r>
      <w:r>
        <w:rPr>
          <w:rFonts w:hint="cs" w:cs="Arial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hint="cs" w:cs="Arial"/>
          <w:rtl/>
        </w:rPr>
        <w:t>: م</w:t>
      </w:r>
      <w:r>
        <w:rPr>
          <w:rFonts w:cs="Arial"/>
          <w:rtl/>
        </w:rPr>
        <w:t>،</w:t>
      </w:r>
      <w:r>
        <w:rPr>
          <w:rStyle w:val="18"/>
          <w:rFonts w:hint="cs"/>
          <w:rtl/>
        </w:rPr>
        <w:t>الخطوات</w:t>
      </w:r>
      <w:r>
        <w:rPr>
          <w:rFonts w:hint="cs" w:cs="Arial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hint="cs" w:cs="Arial"/>
          <w:rtl/>
        </w:rPr>
        <w:t>: ن.</w:t>
      </w:r>
    </w:p>
    <w:p w14:paraId="42A30857">
      <w:pPr>
        <w:bidi/>
        <w:rPr>
          <w:sz w:val="10"/>
          <w:szCs w:val="10"/>
        </w:rPr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765"/>
      </w:tblGrid>
      <w:tr w14:paraId="6E10D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7E34C6DF">
            <w:pPr>
              <w:spacing w:after="0" w:line="240" w:lineRule="auto"/>
              <w:jc w:val="center"/>
              <w:rPr>
                <w:rtl/>
              </w:rPr>
            </w:pPr>
            <w:bookmarkStart w:id="1" w:name="_Hlk129165269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14:paraId="3AC3B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22" w:type="dxa"/>
            <w:vAlign w:val="center"/>
          </w:tcPr>
          <w:p w14:paraId="5C9BBB3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2FECA1BE">
            <w:pPr>
              <w:spacing w:after="0" w:line="240" w:lineRule="auto"/>
            </w:pPr>
          </w:p>
          <w:p w14:paraId="020B88C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jc w:val="both"/>
              <w:rPr>
                <w:rFonts w:hint="default" w:ascii="Arial" w:hAnsi="Arial" w:cs="Arial"/>
              </w:rPr>
            </w:pPr>
            <w:bookmarkStart w:id="2" w:name="_GoBack"/>
            <w:r>
              <w:rPr>
                <w:rFonts w:hint="default" w:ascii="Arial" w:hAnsi="Arial" w:cs="Arial"/>
              </w:rPr>
              <w:t xml:space="preserve">جهاز الطرد المركزي لفصل المكونات الخلوية والفيروسية حسب الكثافة. </w:t>
            </w:r>
          </w:p>
          <w:p w14:paraId="145EEFF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تقنية تفاعل البوليميراز المتسلسل (PCR) لتضخيم أجزاء محددة من الحمض النووي الفيروسي. </w:t>
            </w:r>
          </w:p>
          <w:p w14:paraId="0AACCF0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جهاز التدوير الحراري (Thermal Cycler) الضروري لتنفيذ تفاعل PCR. </w:t>
            </w:r>
          </w:p>
          <w:p w14:paraId="4393B75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المجهر الإلكتروني لملاحظة الجسيمات الفيروسية بدقة عالية. </w:t>
            </w:r>
          </w:p>
          <w:p w14:paraId="3A64369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هلام الأغاروز وتقنيات الرحلان الكهربائي لتحليل وفصل الأحماض النووية. </w:t>
            </w:r>
          </w:p>
          <w:p w14:paraId="1F9DD35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الحاضنات الخاصة بزراعة الخلايا والفيروسات. </w:t>
            </w:r>
          </w:p>
          <w:p w14:paraId="284C685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جهاز المطياف الضوئي (Spectrophotometer) لقياس تركيز الأحماض النووية. </w:t>
            </w:r>
          </w:p>
          <w:p w14:paraId="546F9EAD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خزانات السلامة البيولوجية لضمان العمل في ظروف آمنة. </w:t>
            </w:r>
          </w:p>
          <w:p w14:paraId="066EF9D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الكواشف والأوساط الزرعية اللازمة لتنمية الخلايا والفيروسات وإجراء التحاليل الجزيئية. </w:t>
            </w:r>
          </w:p>
          <w:p w14:paraId="43D28B4A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bidi/>
              <w:spacing w:before="0" w:beforeAutospacing="1" w:after="0" w:afterAutospacing="1"/>
              <w:ind w:left="720" w:hanging="360"/>
              <w:rPr>
                <w:rtl/>
              </w:rPr>
            </w:pPr>
            <w:r>
              <w:rPr>
                <w:rFonts w:hint="default" w:ascii="Arial" w:hAnsi="Arial" w:cs="Arial"/>
              </w:rPr>
              <w:t xml:space="preserve">الأفران والمجمدات المستخدمة في حفظ العينات والكواشف لفترات طويلة. </w:t>
            </w:r>
            <w:bookmarkEnd w:id="2"/>
          </w:p>
        </w:tc>
      </w:tr>
      <w:tr w14:paraId="093B5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22" w:type="dxa"/>
            <w:vAlign w:val="center"/>
          </w:tcPr>
          <w:p w14:paraId="70ABA05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4A3B1939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Fonts w:hint="default" w:ascii="Arial" w:hAnsi="Arial" w:cs="Arial"/>
              </w:rPr>
            </w:pPr>
            <w:r>
              <w:rPr>
                <w:rStyle w:val="10"/>
              </w:rPr>
              <w:t>PubMed:</w:t>
            </w:r>
            <w:r>
              <w:t xml:space="preserve"> </w:t>
            </w:r>
            <w:r>
              <w:rPr>
                <w:rFonts w:hint="default" w:ascii="Arial" w:hAnsi="Arial" w:cs="Arial"/>
              </w:rPr>
              <w:t>قاعدة بيانات شاملة للمقالات العلمية في مجالي علوم الحياة والطب</w:t>
            </w:r>
          </w:p>
          <w:p w14:paraId="1CEF58A9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Fonts w:hint="default" w:ascii="Arial" w:hAnsi="Arial" w:cs="Arial"/>
              </w:rPr>
            </w:pPr>
            <w:r>
              <w:rPr>
                <w:rStyle w:val="10"/>
                <w:rFonts w:hint="default" w:ascii="Arial" w:hAnsi="Arial" w:cs="Arial"/>
              </w:rPr>
              <w:t>Virology Journal:</w:t>
            </w:r>
            <w:r>
              <w:rPr>
                <w:rFonts w:hint="default" w:ascii="Arial" w:hAnsi="Arial" w:cs="Arial"/>
              </w:rPr>
              <w:t xml:space="preserve"> مجلة علمية متخصصة تنشر الأبحاث في مختلف مجالات علم الفيروسات</w:t>
            </w:r>
          </w:p>
          <w:p w14:paraId="5086722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eastAsia="SimSun" w:cs="Arial"/>
                <w:sz w:val="24"/>
              </w:rPr>
              <w:t xml:space="preserve"> </w:t>
            </w:r>
            <w:r>
              <w:rPr>
                <w:rStyle w:val="10"/>
                <w:rFonts w:hint="default" w:ascii="Arial" w:hAnsi="Arial" w:cs="Arial"/>
              </w:rPr>
              <w:t>الجمعية الأمريكية لعلم الأحياء الدقيقة (ASM):</w:t>
            </w:r>
            <w:r>
              <w:rPr>
                <w:rFonts w:hint="default" w:ascii="Arial" w:hAnsi="Arial" w:cs="Arial"/>
              </w:rPr>
              <w:t xml:space="preserve"> توفر مقالات علمية، وموارد تعليمية، وأخباراً حديثة في علم الأحياء الدقيقة وعلم الفيروسات. </w:t>
            </w:r>
          </w:p>
          <w:p w14:paraId="15E143D0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Fonts w:hint="default" w:ascii="Arial" w:hAnsi="Arial" w:cs="Arial"/>
              </w:rPr>
            </w:pPr>
            <w:r>
              <w:rPr>
                <w:rStyle w:val="10"/>
                <w:rFonts w:hint="default" w:ascii="Arial" w:hAnsi="Arial" w:cs="Arial"/>
              </w:rPr>
              <w:t>الشبكات الجامعية:</w:t>
            </w:r>
            <w:r>
              <w:rPr>
                <w:rFonts w:hint="default" w:ascii="Arial" w:hAnsi="Arial" w:cs="Arial"/>
              </w:rPr>
              <w:t xml:space="preserve"> ينصح الطلبة بالاطلاع على الموقع الإلكتروني للجامعة للاستفادة من الموارد والخدمات الخاصة بالمؤسسة. </w:t>
            </w:r>
          </w:p>
          <w:p w14:paraId="784DF16C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eastAsia="SimSun" w:cs="Arial"/>
                <w:sz w:val="24"/>
              </w:rPr>
              <w:t xml:space="preserve"> </w:t>
            </w:r>
            <w:r>
              <w:rPr>
                <w:rStyle w:val="10"/>
                <w:rFonts w:hint="default" w:ascii="Arial" w:hAnsi="Arial" w:cs="Arial"/>
              </w:rPr>
              <w:t>فرق البحث في علم الفيروسات:</w:t>
            </w:r>
            <w:r>
              <w:rPr>
                <w:rFonts w:hint="default" w:ascii="Arial" w:hAnsi="Arial" w:cs="Arial"/>
              </w:rPr>
              <w:t xml:space="preserve"> البحث عن المخابر وفرق البحث المحلية المتخصصة في علم الفيروسات الأساسي والجزيئي. </w:t>
            </w:r>
          </w:p>
          <w:p w14:paraId="1B8D8238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bidi/>
              <w:ind w:left="420" w:leftChars="0" w:hanging="420" w:firstLineChars="0"/>
              <w:rPr>
                <w:rtl/>
                <w:lang w:bidi="ar-DZ"/>
              </w:rPr>
            </w:pPr>
            <w:r>
              <w:rPr>
                <w:rStyle w:val="10"/>
                <w:rFonts w:hint="default" w:ascii="Arial" w:hAnsi="Arial" w:cs="Arial"/>
              </w:rPr>
              <w:t>Coursera:</w:t>
            </w:r>
            <w:r>
              <w:rPr>
                <w:rFonts w:hint="default" w:ascii="Arial" w:hAnsi="Arial" w:cs="Arial"/>
              </w:rPr>
              <w:t xml:space="preserve"> منصة تعليمية تقدم مقررات إلكترونية في علم الفيروسات والبيولوجيا الجزيئية.</w:t>
            </w:r>
          </w:p>
        </w:tc>
      </w:tr>
      <w:bookmarkEnd w:id="1"/>
      <w:tr w14:paraId="0C445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5FD7BE6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م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و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6717CAF4">
            <w:pPr>
              <w:bidi/>
              <w:spacing w:after="0" w:line="240" w:lineRule="auto"/>
              <w:rPr>
                <w:rtl/>
              </w:rPr>
            </w:pPr>
          </w:p>
        </w:tc>
      </w:tr>
      <w:tr w14:paraId="287F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22" w:type="dxa"/>
            <w:vAlign w:val="center"/>
          </w:tcPr>
          <w:p w14:paraId="220EEDD6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78B83A1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جهاز الطرد المركزي.</w:t>
            </w:r>
          </w:p>
          <w:p w14:paraId="2D139716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جهاز تفاعل البوليميراز المتسلسل (PCR).</w:t>
            </w:r>
          </w:p>
          <w:p w14:paraId="34E518C3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جهاز التدوير الحراري.</w:t>
            </w:r>
          </w:p>
          <w:p w14:paraId="631B013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المجهر الإلكتروني.</w:t>
            </w:r>
          </w:p>
          <w:p w14:paraId="684C9E37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هلام الأغاروز وأجهزة الرحلان الكهربائي.</w:t>
            </w:r>
          </w:p>
          <w:p w14:paraId="1538D47A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الحاضنات.</w:t>
            </w:r>
          </w:p>
          <w:p w14:paraId="4889D2ED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جهاز المطياف الضوئي.</w:t>
            </w:r>
          </w:p>
          <w:p w14:paraId="3645E27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خزانات السلامة البيولوجية.</w:t>
            </w:r>
          </w:p>
          <w:p w14:paraId="0C2B7E52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الكواشف الكيميائية.</w:t>
            </w:r>
          </w:p>
          <w:p w14:paraId="0A273B09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الأوساط الزرعية.</w:t>
            </w:r>
          </w:p>
        </w:tc>
      </w:tr>
      <w:tr w14:paraId="042CB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3F3B716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036BF729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المآزر المخبرية.</w:t>
            </w:r>
          </w:p>
          <w:p w14:paraId="02CB9D7B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القفازات المصنوعة من النتريل أو اللاتكس.</w:t>
            </w:r>
          </w:p>
          <w:p w14:paraId="1E104AEB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النظارات الواقية.</w:t>
            </w:r>
          </w:p>
          <w:p w14:paraId="01B6B83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أجهزة الحماية التنفسية.</w:t>
            </w:r>
          </w:p>
          <w:p w14:paraId="55009A75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الأحذية المغلقة.</w:t>
            </w:r>
          </w:p>
        </w:tc>
      </w:tr>
      <w:tr w14:paraId="22F7D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Align w:val="center"/>
          </w:tcPr>
          <w:p w14:paraId="19E151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214E9070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المآزر المخبرية.</w:t>
            </w:r>
          </w:p>
          <w:p w14:paraId="6AC2582C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قفازات النتريل أو اللاتكس.</w:t>
            </w:r>
          </w:p>
          <w:p w14:paraId="26540CE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النظارات الواقية.</w:t>
            </w:r>
          </w:p>
          <w:p w14:paraId="731F350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أقنعة الحماية التنفسية.</w:t>
            </w:r>
          </w:p>
          <w:p w14:paraId="08891CC5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الأحذية المغلقة.</w:t>
            </w:r>
          </w:p>
        </w:tc>
      </w:tr>
      <w:tr w14:paraId="3D177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887" w:type="dxa"/>
            <w:gridSpan w:val="2"/>
            <w:shd w:val="clear" w:color="auto" w:fill="D8D8D8" w:themeFill="background1" w:themeFillShade="D9"/>
            <w:vAlign w:val="center"/>
          </w:tcPr>
          <w:p w14:paraId="5A0D31BC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14:paraId="0A10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122" w:type="dxa"/>
            <w:vAlign w:val="center"/>
          </w:tcPr>
          <w:p w14:paraId="64BAB8A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3AAAA3F1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يتوقع من طلبة السنة الأولى ماستر في علم الفيروسات أن:</w:t>
            </w:r>
          </w:p>
          <w:p w14:paraId="27A017B3">
            <w:pPr>
              <w:bidi/>
              <w:spacing w:after="0" w:line="240" w:lineRule="auto"/>
              <w:rPr>
                <w:rFonts w:hint="default"/>
                <w:rtl/>
              </w:rPr>
            </w:pPr>
          </w:p>
          <w:p w14:paraId="349B35DA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يشاركوا بفعالية في المحاضرات والأعمال الموجهة.</w:t>
            </w:r>
          </w:p>
          <w:p w14:paraId="1897B7A5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يقرأوا ويفهموا المقالات والوثائق العلمية.</w:t>
            </w:r>
          </w:p>
          <w:p w14:paraId="559CE43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يشاركوا في الأعمال التطبيقية الخاصة بمناولة الفيروسات داخل المخبر.</w:t>
            </w:r>
          </w:p>
          <w:p w14:paraId="5000674D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ينجزوا مشاريع بحثية فردية أو جماعية.</w:t>
            </w:r>
          </w:p>
          <w:p w14:paraId="32C633E3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يقدموا عروضاً شفوية.</w:t>
            </w:r>
          </w:p>
          <w:p w14:paraId="3D0D1B6B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يعملوا بروح الفريق مع زملائهم والباحثين.</w:t>
            </w:r>
          </w:p>
          <w:p w14:paraId="0443D79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كما ينبغي عليهم:</w:t>
            </w:r>
          </w:p>
          <w:p w14:paraId="2E7F6D22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تنمية التفكير النقدي.</w:t>
            </w:r>
          </w:p>
          <w:p w14:paraId="0A8D137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الاعتماد على التعلم الذاتي.</w:t>
            </w:r>
          </w:p>
          <w:p w14:paraId="0FA36410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إظهار الالتزام العلمي والأخلاقي تجاه تخصص علم الفيروسات.</w:t>
            </w:r>
          </w:p>
        </w:tc>
      </w:tr>
      <w:tr w14:paraId="313DB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22" w:type="dxa"/>
            <w:vAlign w:val="center"/>
          </w:tcPr>
          <w:p w14:paraId="2B22360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أ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583C6CD8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يمتلك معرفة علمية متعمقة بالمقياس.</w:t>
            </w:r>
          </w:p>
          <w:p w14:paraId="2B19D707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يقدم الدروس بطريقة واضحة وحديثة.</w:t>
            </w:r>
          </w:p>
          <w:p w14:paraId="3DD4DF63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يعتمد أساليب تقييم عادلة وشفافة.</w:t>
            </w:r>
          </w:p>
          <w:p w14:paraId="5250E104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يؤطر مشاريع البحث.</w:t>
            </w:r>
          </w:p>
          <w:p w14:paraId="584B8F3C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يكون متاحاً للإجابة عن استفسارات الطلبة.</w:t>
            </w:r>
          </w:p>
          <w:p w14:paraId="2E00751A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يشجع التفكير النقدي والإبداع العلمي.</w:t>
            </w:r>
          </w:p>
          <w:p w14:paraId="222E409D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يحدث محتوى المقياس باستمرار وفق المستجدات العلمية.</w:t>
            </w:r>
          </w:p>
          <w:p w14:paraId="496A1BE6">
            <w:pPr>
              <w:bidi/>
              <w:spacing w:after="0" w:line="240" w:lineRule="auto"/>
              <w:rPr>
                <w:rFonts w:hint="default"/>
                <w:rtl/>
              </w:rPr>
            </w:pPr>
            <w:r>
              <w:rPr>
                <w:rFonts w:hint="default"/>
                <w:rtl/>
              </w:rPr>
              <w:t>يدمج الجوانب الأخلاقية في التكوين.</w:t>
            </w:r>
          </w:p>
          <w:p w14:paraId="5A346198">
            <w:pPr>
              <w:bidi/>
              <w:spacing w:after="0" w:line="240" w:lineRule="auto"/>
              <w:rPr>
                <w:rtl/>
              </w:rPr>
            </w:pPr>
            <w:r>
              <w:rPr>
                <w:rFonts w:hint="default"/>
                <w:rtl/>
              </w:rPr>
              <w:t>يوفر بيئة تعليمية محفزة وإيجابية.</w:t>
            </w:r>
          </w:p>
        </w:tc>
      </w:tr>
    </w:tbl>
    <w:p w14:paraId="5F2DBB0E">
      <w:pPr>
        <w:bidi/>
      </w:pPr>
    </w:p>
    <w:tbl>
      <w:tblPr>
        <w:tblStyle w:val="11"/>
        <w:bidiVisual/>
        <w:tblW w:w="9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907"/>
      </w:tblGrid>
      <w:tr w14:paraId="7A37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887" w:type="dxa"/>
            <w:gridSpan w:val="2"/>
            <w:vAlign w:val="center"/>
          </w:tcPr>
          <w:p w14:paraId="77C31B4C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 w:cs="Arial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14:paraId="6A2A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80" w:type="dxa"/>
            <w:vAlign w:val="center"/>
          </w:tcPr>
          <w:p w14:paraId="0E65C70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14:paraId="0FF16F8D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  <w:rPr>
                <w:rFonts w:hint="default"/>
              </w:rPr>
            </w:pPr>
            <w:r>
              <w:rPr>
                <w:rFonts w:hint="default"/>
              </w:rPr>
              <w:t>Molecular and cellular virology par David Baltimore, David Knipe et David Roizman.</w:t>
            </w:r>
          </w:p>
          <w:p w14:paraId="4D225874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</w:pPr>
            <w:r>
              <w:rPr>
                <w:rFonts w:hint="default"/>
              </w:rPr>
              <w:t>Introduction to virology par Robert W. Compans.  Virology (et Fields Virology) édité par David M. Knipe et Peter M. Howley.</w:t>
            </w:r>
          </w:p>
          <w:p w14:paraId="1DE2736D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  <w:rPr>
                <w:rtl/>
              </w:rPr>
            </w:pPr>
            <w:r>
              <w:rPr>
                <w:rFonts w:hint="default"/>
              </w:rPr>
              <w:t xml:space="preserve">Principles of Virology par S. Jane Flint, Vincent R. Racaniello, et al.  Molecular Biology of the Cell par Bruce Alberts, Alexander Johnson, Julian Lewis, et al.  </w:t>
            </w:r>
          </w:p>
        </w:tc>
      </w:tr>
      <w:tr w14:paraId="7B6C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246EE14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hint="cs" w:cs="Arial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1B0B5950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</w:pPr>
            <w:r>
              <w:rPr>
                <w:rFonts w:hint="default"/>
              </w:rPr>
              <w:t>Viral Evolution, par Vincent Racaniello (édition 7, 2022).</w:t>
            </w:r>
          </w:p>
          <w:p w14:paraId="2391B8DC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</w:pPr>
            <w:r>
              <w:rPr>
                <w:rFonts w:hint="default"/>
              </w:rPr>
              <w:t>Viral Emergence, par David M. Knipe et Peter M. Howley (édition 9, 2021).</w:t>
            </w:r>
          </w:p>
          <w:p w14:paraId="250D653E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</w:pPr>
            <w:r>
              <w:rPr>
                <w:rFonts w:hint="default"/>
              </w:rPr>
              <w:t>Viral Genomics, par Stephen C. Harrison (édition 2, 2022).  Viral Therapy, par Vincent Racaniello (édition 7, 2022).</w:t>
            </w:r>
          </w:p>
          <w:p w14:paraId="129AF016">
            <w:pPr>
              <w:numPr>
                <w:ilvl w:val="0"/>
                <w:numId w:val="9"/>
              </w:numPr>
              <w:spacing w:after="0" w:line="240" w:lineRule="auto"/>
              <w:ind w:left="420" w:leftChars="0" w:hanging="420" w:firstLineChars="0"/>
              <w:jc w:val="both"/>
              <w:rPr>
                <w:rtl/>
              </w:rPr>
            </w:pPr>
            <w:r>
              <w:rPr>
                <w:rFonts w:hint="default"/>
              </w:rPr>
              <w:t>Viral Vectors, par Vincent Racaniello (édition 7, 2022).</w:t>
            </w:r>
          </w:p>
        </w:tc>
      </w:tr>
      <w:tr w14:paraId="13FB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39E27C8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14:paraId="77BDA68C">
            <w:pPr>
              <w:spacing w:after="0" w:line="240" w:lineRule="auto"/>
              <w:jc w:val="both"/>
              <w:rPr>
                <w:rFonts w:hint="default"/>
              </w:rPr>
            </w:pPr>
            <w:r>
              <w:rPr>
                <w:rFonts w:hint="default"/>
              </w:rPr>
              <w:t xml:space="preserve">« </w:t>
            </w:r>
            <w:r>
              <w:rPr>
                <w:rFonts w:hint="default"/>
                <w:b/>
                <w:bCs/>
              </w:rPr>
              <w:t>Fundamental and molecular virology</w:t>
            </w:r>
            <w:r>
              <w:rPr>
                <w:rFonts w:hint="default"/>
              </w:rPr>
              <w:t xml:space="preserve"> » par le Dr Jean-Michel Perret, Université de Genève, Suisse.</w:t>
            </w:r>
          </w:p>
          <w:p w14:paraId="0FEA793B">
            <w:pPr>
              <w:spacing w:after="0" w:line="240" w:lineRule="auto"/>
              <w:jc w:val="both"/>
              <w:rPr>
                <w:rFonts w:hint="default"/>
              </w:rPr>
            </w:pPr>
            <w:r>
              <w:rPr>
                <w:rFonts w:hint="default"/>
              </w:rPr>
              <w:t xml:space="preserve">« </w:t>
            </w:r>
            <w:r>
              <w:rPr>
                <w:rFonts w:hint="default"/>
                <w:b/>
                <w:bCs/>
              </w:rPr>
              <w:t>Molecular virology</w:t>
            </w:r>
            <w:r>
              <w:rPr>
                <w:rFonts w:hint="default"/>
              </w:rPr>
              <w:t xml:space="preserve"> » par le Dr Jean-Claude Chermann, Institut Pasteur, France.</w:t>
            </w:r>
          </w:p>
          <w:p w14:paraId="547F9997">
            <w:pPr>
              <w:spacing w:after="0" w:line="240" w:lineRule="auto"/>
              <w:jc w:val="both"/>
              <w:rPr>
                <w:rtl/>
              </w:rPr>
            </w:pPr>
            <w:r>
              <w:rPr>
                <w:rFonts w:hint="default"/>
              </w:rPr>
              <w:t xml:space="preserve">« </w:t>
            </w:r>
            <w:r>
              <w:rPr>
                <w:rFonts w:hint="default"/>
                <w:b/>
                <w:bCs/>
              </w:rPr>
              <w:t>Medical virology</w:t>
            </w:r>
            <w:r>
              <w:rPr>
                <w:rFonts w:hint="default"/>
              </w:rPr>
              <w:t xml:space="preserve"> » par le Dr Jean-François Delfraissy, INSERM, France.</w:t>
            </w:r>
          </w:p>
        </w:tc>
      </w:tr>
      <w:tr w14:paraId="44F6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80" w:type="dxa"/>
            <w:vAlign w:val="center"/>
          </w:tcPr>
          <w:p w14:paraId="652C1C4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14:paraId="77421B76">
            <w:pPr>
              <w:pStyle w:val="9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line="15" w:lineRule="atLeast"/>
              <w:ind w:left="420" w:leftChars="0" w:hanging="420" w:firstLineChars="0"/>
              <w:jc w:val="both"/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 xml:space="preserve">ASM : 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begin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instrText xml:space="preserve"> HYPERLINK "https://asm.org/" \t "https://gemini.google.com/app/_blank" </w:instrTex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separate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>https://asm.org/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end"/>
            </w:r>
          </w:p>
          <w:p w14:paraId="4BFAFF45">
            <w:pPr>
              <w:pStyle w:val="9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line="15" w:lineRule="atLeast"/>
              <w:ind w:left="420" w:leftChars="0" w:hanging="420" w:firstLineChars="0"/>
              <w:jc w:val="both"/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 xml:space="preserve">European Society for Virology (ESV) : 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begin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instrText xml:space="preserve"> HYPERLINK "http://www.eusv.eu/" \t "https://gemini.google.com/app/_blank" </w:instrTex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separate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>http://www.eusv.eu/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end"/>
            </w:r>
          </w:p>
          <w:p w14:paraId="066B4EAB">
            <w:pPr>
              <w:pStyle w:val="9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line="15" w:lineRule="atLeast"/>
              <w:ind w:left="420" w:leftChars="0" w:hanging="420" w:firstLineChars="0"/>
              <w:jc w:val="both"/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</w:pP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 xml:space="preserve">National Institutes of Health (NIH) : 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begin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instrText xml:space="preserve"> HYPERLINK "https://www.nih.gov/" \t "https://gemini.google.com/app/_blank" </w:instrTex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separate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>https://www.nih.gov/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end"/>
            </w:r>
          </w:p>
          <w:p w14:paraId="242CB299">
            <w:pPr>
              <w:pStyle w:val="9"/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0" w:line="15" w:lineRule="atLeast"/>
              <w:ind w:left="420" w:leftChars="0" w:right="0" w:rightChars="0" w:hanging="420" w:firstLineChars="0"/>
              <w:jc w:val="both"/>
              <w:rPr>
                <w:rtl/>
              </w:rPr>
            </w:pP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 xml:space="preserve">ViralZone : 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begin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instrText xml:space="preserve"> HYPERLINK "https://viralzone.expasy.org/" \t "https://gemini.google.com/app/_blank" </w:instrTex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separate"/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t>https://viralzone.expasy.org/</w:t>
            </w:r>
            <w:r>
              <w:rPr>
                <w:rFonts w:hint="default" w:asciiTheme="minorHAnsi" w:hAnsiTheme="minorHAnsi" w:eastAsiaTheme="minorHAnsi" w:cstheme="minorBidi"/>
                <w:kern w:val="0"/>
                <w:sz w:val="22"/>
                <w:szCs w:val="22"/>
                <w:lang w:val="fr-FR" w:eastAsia="en-US" w:bidi="ar-SA"/>
              </w:rPr>
              <w:fldChar w:fldCharType="end"/>
            </w:r>
          </w:p>
        </w:tc>
      </w:tr>
    </w:tbl>
    <w:p w14:paraId="27CD93E3">
      <w:pPr>
        <w:bidi/>
      </w:pPr>
    </w:p>
    <w:p w14:paraId="3FCA31AA">
      <w:pPr>
        <w:bidi/>
      </w:pPr>
      <w:r>
        <w:rPr>
          <w:b/>
          <w:bCs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4445" t="5080" r="14605" b="4445"/>
                <wp:wrapNone/>
                <wp:docPr id="1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7CE2A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Zone de texte 3" o:spid="_x0000_s1026" o:spt="202" type="#_x0000_t202" style="position:absolute;left:0pt;margin-left:125.6pt;margin-top:25.7pt;height:149.25pt;width:225pt;z-index:251659264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 w14:paraId="5E7CE2A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851" w:right="1418" w:bottom="568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279069"/>
    <w:multiLevelType w:val="multilevel"/>
    <w:tmpl w:val="B227906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EF6A9597"/>
    <w:multiLevelType w:val="singleLevel"/>
    <w:tmpl w:val="EF6A959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164B259E"/>
    <w:multiLevelType w:val="multilevel"/>
    <w:tmpl w:val="164B25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1A71247C"/>
    <w:multiLevelType w:val="multilevel"/>
    <w:tmpl w:val="1A7124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5D7D5BC6"/>
    <w:multiLevelType w:val="multilevel"/>
    <w:tmpl w:val="5D7D5BC6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>
    <w:nsid w:val="67EB00B0"/>
    <w:multiLevelType w:val="multilevel"/>
    <w:tmpl w:val="67EB00B0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7120AFEA"/>
    <w:multiLevelType w:val="singleLevel"/>
    <w:tmpl w:val="7120AFE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777CF0F3"/>
    <w:multiLevelType w:val="singleLevel"/>
    <w:tmpl w:val="777CF0F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8">
    <w:nsid w:val="7CC7174F"/>
    <w:multiLevelType w:val="singleLevel"/>
    <w:tmpl w:val="7CC7174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dit="forms"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  <w:rsid w:val="4BA656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numPr>
        <w:ilvl w:val="0"/>
        <w:numId w:val="1"/>
      </w:numPr>
      <w:spacing w:before="120" w:after="120"/>
      <w:outlineLvl w:val="0"/>
    </w:pPr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paragraph" w:styleId="3">
    <w:name w:val="heading 2"/>
    <w:basedOn w:val="1"/>
    <w:next w:val="1"/>
    <w:link w:val="13"/>
    <w:autoRedefine/>
    <w:unhideWhenUsed/>
    <w:qFormat/>
    <w:uiPriority w:val="9"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</w:rPr>
  </w:style>
  <w:style w:type="paragraph" w:styleId="9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10">
    <w:name w:val="Strong"/>
    <w:basedOn w:val="5"/>
    <w:qFormat/>
    <w:uiPriority w:val="22"/>
    <w:rPr>
      <w:b/>
      <w:bCs/>
    </w:rPr>
  </w:style>
  <w:style w:type="table" w:styleId="11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Titre 1 Car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00B0F0"/>
      <w:sz w:val="32"/>
      <w:szCs w:val="32"/>
    </w:rPr>
  </w:style>
  <w:style w:type="character" w:customStyle="1" w:styleId="13">
    <w:name w:val="Titre 2 Car"/>
    <w:basedOn w:val="5"/>
    <w:link w:val="3"/>
    <w:qFormat/>
    <w:uiPriority w:val="9"/>
    <w:rPr>
      <w:rFonts w:asciiTheme="majorHAnsi" w:hAnsiTheme="majorHAnsi" w:eastAsiaTheme="majorEastAsia" w:cstheme="majorBidi"/>
      <w:b/>
      <w:bCs/>
      <w:i/>
      <w:iCs/>
      <w:color w:val="00B0F0"/>
      <w:sz w:val="26"/>
      <w:szCs w:val="26"/>
    </w:rPr>
  </w:style>
  <w:style w:type="character" w:customStyle="1" w:styleId="14">
    <w:name w:val="Titre 3 Car"/>
    <w:basedOn w:val="5"/>
    <w:link w:val="4"/>
    <w:qFormat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styleId="16">
    <w:name w:val="Placeholder Text"/>
    <w:basedOn w:val="5"/>
    <w:semiHidden/>
    <w:qFormat/>
    <w:uiPriority w:val="99"/>
    <w:rPr>
      <w:color w:val="808080"/>
    </w:rPr>
  </w:style>
  <w:style w:type="character" w:customStyle="1" w:styleId="17">
    <w:name w:val="Texte de bulles Car"/>
    <w:basedOn w:val="5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8">
    <w:name w:val="rynqvb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Pages>4</Pages>
  <Words>150</Words>
  <Characters>859</Characters>
  <Lines>11</Lines>
  <Paragraphs>3</Paragraphs>
  <TotalTime>4</TotalTime>
  <ScaleCrop>false</ScaleCrop>
  <LinksUpToDate>false</LinksUpToDate>
  <CharactersWithSpaces>934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2023-09-26T11:02:00Z</dcterms:created>
  <dc:creator>Khelif Rabie</dc:creator>
  <cp:lastModifiedBy>Halim Khenchouche</cp:lastModifiedBy>
  <cp:lastPrinted>2023-01-23T10:57:00Z</cp:lastPrinted>
  <dcterms:modified xsi:type="dcterms:W3CDTF">2026-07-13T18:44:58Z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eyJoZGlkIjoiNmY2OTUwNTAwZTVhNTU5MDkzMjAxOGQ4Yjk4YTEzMTQiLCJ1c2VySWQiOiIzNzI4NDI1MDg0NzIwIn0=</vt:lpwstr>
  </property>
  <property fmtid="{D5CDD505-2E9C-101B-9397-08002B2CF9AE}" pid="3" name="KSOProductBuildVer">
    <vt:lpwstr>1033-12.1.0.26880</vt:lpwstr>
  </property>
  <property fmtid="{D5CDD505-2E9C-101B-9397-08002B2CF9AE}" pid="4" name="ICV">
    <vt:lpwstr>D5F7BA2DF3754C709AE20C098092B7A2_13</vt:lpwstr>
  </property>
</Properties>
</file>